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A" w:rsidRDefault="00D6610A" w:rsidP="00D6610A">
      <w:pPr>
        <w:pStyle w:val="BodyText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Assurance provided by internal audit </w:t>
      </w:r>
      <w:r w:rsidRPr="00065308">
        <w:rPr>
          <w:b/>
          <w:sz w:val="28"/>
          <w:szCs w:val="28"/>
        </w:rPr>
        <w:t xml:space="preserve">assignments </w:t>
      </w:r>
      <w:r>
        <w:rPr>
          <w:b/>
          <w:sz w:val="28"/>
          <w:szCs w:val="28"/>
        </w:rPr>
        <w:t xml:space="preserve">in </w:t>
      </w:r>
      <w:r w:rsidRPr="0006530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065308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9</w:t>
      </w:r>
    </w:p>
    <w:p w:rsidR="000E2145" w:rsidRDefault="00D6610A" w:rsidP="00D6610A">
      <w:pPr>
        <w:spacing w:before="120" w:after="120"/>
        <w:jc w:val="both"/>
      </w:pPr>
      <w:r w:rsidRPr="00845E96">
        <w:t xml:space="preserve">Note that our assurance may address the adequacy of the control framework's </w:t>
      </w:r>
      <w:r>
        <w:t xml:space="preserve">design, the effectiveness of the controls in operation, or both. The wording below addresses all of these options and </w:t>
      </w:r>
      <w:r>
        <w:t>we refer in our reports to the assurance applicable to the scope of the work we have undertaken.</w:t>
      </w:r>
    </w:p>
    <w:p w:rsidR="00DD2C48" w:rsidRPr="00530A9F" w:rsidRDefault="00D6610A" w:rsidP="00D6610A">
      <w:pPr>
        <w:spacing w:before="120" w:after="120"/>
        <w:jc w:val="both"/>
        <w:rPr>
          <w:rFonts w:cs="Arial"/>
          <w:b/>
          <w:sz w:val="28"/>
          <w:szCs w:val="28"/>
        </w:rPr>
      </w:pPr>
      <w:r>
        <w:rPr>
          <w:rFonts w:cs="Arial"/>
        </w:rPr>
        <w:t>T</w:t>
      </w:r>
      <w:r w:rsidRPr="00530A9F">
        <w:rPr>
          <w:rFonts w:cs="Arial"/>
        </w:rPr>
        <w:t>hese defin</w:t>
      </w:r>
      <w:bookmarkStart w:id="0" w:name="_GoBack"/>
      <w:bookmarkEnd w:id="0"/>
      <w:r w:rsidRPr="00530A9F">
        <w:rPr>
          <w:rFonts w:cs="Arial"/>
        </w:rPr>
        <w:t xml:space="preserve">itions </w:t>
      </w:r>
      <w:r>
        <w:rPr>
          <w:rFonts w:cs="Arial"/>
        </w:rPr>
        <w:t xml:space="preserve">were used for the first time in 2018/19, having been </w:t>
      </w:r>
      <w:r w:rsidRPr="00530A9F">
        <w:rPr>
          <w:rFonts w:cs="Arial"/>
        </w:rPr>
        <w:t>review</w:t>
      </w:r>
      <w:r>
        <w:rPr>
          <w:rFonts w:cs="Arial"/>
        </w:rPr>
        <w:t>ed</w:t>
      </w:r>
      <w:r w:rsidRPr="00530A9F">
        <w:rPr>
          <w:rFonts w:cs="Arial"/>
        </w:rPr>
        <w:t xml:space="preserve"> and </w:t>
      </w:r>
      <w:r>
        <w:rPr>
          <w:rFonts w:cs="Arial"/>
        </w:rPr>
        <w:t>revised</w:t>
      </w:r>
      <w:r w:rsidRPr="00530A9F">
        <w:rPr>
          <w:rFonts w:cs="Arial"/>
        </w:rPr>
        <w:t xml:space="preserve"> </w:t>
      </w:r>
      <w:r>
        <w:rPr>
          <w:rFonts w:cs="Arial"/>
        </w:rPr>
        <w:t>in the previous year</w:t>
      </w:r>
      <w:r w:rsidRPr="00530A9F">
        <w:rPr>
          <w:rFonts w:cs="Arial"/>
        </w:rPr>
        <w:t>.</w:t>
      </w:r>
    </w:p>
    <w:p w:rsidR="000E2145" w:rsidRDefault="00D6610A" w:rsidP="00D6610A">
      <w:pPr>
        <w:spacing w:before="120" w:after="120"/>
        <w:jc w:val="both"/>
      </w:pPr>
      <w:r>
        <w:rPr>
          <w:b/>
        </w:rPr>
        <w:t>Substantial</w:t>
      </w:r>
      <w:r w:rsidRPr="00184D55">
        <w:rPr>
          <w:b/>
        </w:rPr>
        <w:t xml:space="preserve"> assurance</w:t>
      </w:r>
      <w:r>
        <w:t>:</w:t>
      </w:r>
      <w:r w:rsidRPr="00282F4A">
        <w:t xml:space="preserve"> </w:t>
      </w:r>
      <w:r>
        <w:t>the framework of contr</w:t>
      </w:r>
      <w:r>
        <w:t>ol is adequately designed and/ or effectively operated.</w:t>
      </w:r>
    </w:p>
    <w:p w:rsidR="000E2145" w:rsidRDefault="00D6610A" w:rsidP="00D6610A">
      <w:pPr>
        <w:spacing w:before="120" w:after="120"/>
        <w:jc w:val="both"/>
      </w:pPr>
      <w:r>
        <w:rPr>
          <w:b/>
        </w:rPr>
        <w:t>Moderate</w:t>
      </w:r>
      <w:r w:rsidRPr="00184D55">
        <w:rPr>
          <w:b/>
        </w:rPr>
        <w:t xml:space="preserve"> assurance</w:t>
      </w:r>
      <w:r>
        <w:t>:</w:t>
      </w:r>
      <w:r w:rsidRPr="00282F4A">
        <w:t xml:space="preserve"> </w:t>
      </w:r>
      <w:r>
        <w:t>the framework of control is adequately designed and/ or effectively operated overall, but some action is required to enhance aspects of it and/ or ensure that it is effectively ope</w:t>
      </w:r>
      <w:r>
        <w:t>rated throughout the service, system or process.</w:t>
      </w:r>
    </w:p>
    <w:p w:rsidR="000E2145" w:rsidRDefault="00D6610A" w:rsidP="00D6610A">
      <w:pPr>
        <w:spacing w:before="120" w:after="120"/>
        <w:jc w:val="both"/>
      </w:pPr>
      <w:r w:rsidRPr="00184D55">
        <w:rPr>
          <w:b/>
        </w:rPr>
        <w:t>Limited assurance</w:t>
      </w:r>
      <w:r>
        <w:t>: there are some significant weaknesses in the design</w:t>
      </w:r>
      <w:r w:rsidRPr="00282F4A">
        <w:t xml:space="preserve"> and/</w:t>
      </w:r>
      <w:r>
        <w:t xml:space="preserve"> </w:t>
      </w:r>
      <w:r w:rsidRPr="00282F4A">
        <w:t xml:space="preserve">or </w:t>
      </w:r>
      <w:r>
        <w:t>operation of the framework of control that</w:t>
      </w:r>
      <w:r w:rsidRPr="00282F4A">
        <w:t xml:space="preserve"> put the achievement of </w:t>
      </w:r>
      <w:r>
        <w:t>the service, system or process'</w:t>
      </w:r>
      <w:r w:rsidRPr="00282F4A">
        <w:t xml:space="preserve"> objectives at risk</w:t>
      </w:r>
      <w:r>
        <w:t>.</w:t>
      </w:r>
    </w:p>
    <w:p w:rsidR="000E2145" w:rsidRDefault="00D6610A" w:rsidP="00D6610A">
      <w:pPr>
        <w:spacing w:before="120" w:after="120"/>
        <w:jc w:val="both"/>
      </w:pPr>
      <w:r w:rsidRPr="00184D55">
        <w:rPr>
          <w:b/>
        </w:rPr>
        <w:t>No assuran</w:t>
      </w:r>
      <w:r w:rsidRPr="00184D55">
        <w:rPr>
          <w:b/>
        </w:rPr>
        <w:t>ce</w:t>
      </w:r>
      <w:r>
        <w:t>:</w:t>
      </w:r>
      <w:r w:rsidRPr="00282F4A">
        <w:t xml:space="preserve"> </w:t>
      </w:r>
      <w:r>
        <w:t xml:space="preserve">there are some fundamental </w:t>
      </w:r>
      <w:r w:rsidRPr="00282F4A">
        <w:t xml:space="preserve">weaknesses in </w:t>
      </w:r>
      <w:r>
        <w:t>the design</w:t>
      </w:r>
      <w:r w:rsidRPr="00282F4A">
        <w:t xml:space="preserve"> and/</w:t>
      </w:r>
      <w:r>
        <w:t xml:space="preserve"> </w:t>
      </w:r>
      <w:r w:rsidRPr="00282F4A">
        <w:t xml:space="preserve">or </w:t>
      </w:r>
      <w:r>
        <w:t xml:space="preserve">operation of the framework of </w:t>
      </w:r>
      <w:r w:rsidRPr="00282F4A">
        <w:t>control</w:t>
      </w:r>
      <w:r>
        <w:t xml:space="preserve"> that </w:t>
      </w:r>
      <w:r w:rsidRPr="00282F4A">
        <w:t>could result</w:t>
      </w:r>
      <w:r>
        <w:t xml:space="preserve"> </w:t>
      </w:r>
      <w:r w:rsidRPr="00282F4A">
        <w:t xml:space="preserve">in failure to achieve </w:t>
      </w:r>
      <w:r>
        <w:t>the service, system or process'</w:t>
      </w:r>
      <w:r w:rsidRPr="00282F4A">
        <w:t xml:space="preserve"> objectives.</w:t>
      </w:r>
    </w:p>
    <w:p w:rsidR="00DD2C48" w:rsidRDefault="00D6610A" w:rsidP="00D6610A">
      <w:pPr>
        <w:spacing w:before="120" w:after="120"/>
        <w:jc w:val="both"/>
      </w:pPr>
      <w:r>
        <w:t>As at 30 April 2019, the assurance available from completed audit work</w:t>
      </w:r>
      <w:r>
        <w:t xml:space="preserve"> is as follows: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AB40FE" w:rsidTr="00361144">
        <w:trPr>
          <w:tblHeader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2414">
              <w:rPr>
                <w:rFonts w:ascii="Arial" w:hAnsi="Arial" w:cs="Arial"/>
                <w:b/>
                <w:sz w:val="24"/>
                <w:szCs w:val="24"/>
              </w:rPr>
              <w:t>Control area: 2018/19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2414">
              <w:rPr>
                <w:rFonts w:ascii="Arial" w:hAnsi="Arial" w:cs="Arial"/>
                <w:b/>
                <w:sz w:val="24"/>
                <w:szCs w:val="24"/>
              </w:rPr>
              <w:t>Assurance</w:t>
            </w:r>
          </w:p>
        </w:tc>
      </w:tr>
      <w:tr w:rsidR="00AB40FE" w:rsidTr="00361144">
        <w:tc>
          <w:tcPr>
            <w:tcW w:w="7655" w:type="dxa"/>
            <w:tcBorders>
              <w:right w:val="nil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Business effectiveness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Delivery of the council's financial strategy and budget reductions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Communication with staff across the council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Medication practices across Disability Services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Supervision and support to front-line in-house day services care providers in Disability Services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Supervision and support to front-line social workers in the Patient Safety and Safeguarding Service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 xml:space="preserve">Contract monitoring: </w:t>
            </w:r>
            <w:r w:rsidRPr="006C2414">
              <w:rPr>
                <w:rFonts w:ascii="Arial" w:hAnsi="Arial" w:cs="Arial"/>
                <w:sz w:val="22"/>
                <w:szCs w:val="22"/>
              </w:rPr>
              <w:t>reablement service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Contract monitoring: crisis support service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Contract monitoring: sexual health service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Contract monitoring: direct payment support service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Public Health expenditure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 xml:space="preserve">Payroll claims </w:t>
            </w:r>
            <w:r w:rsidRPr="006C2414">
              <w:rPr>
                <w:rFonts w:ascii="Arial" w:hAnsi="Arial" w:cs="Arial"/>
                <w:sz w:val="22"/>
                <w:szCs w:val="22"/>
              </w:rPr>
              <w:t>and recovery of over/ underpayments to staff in Disability Services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Ordinary residence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Third party top-up payments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  <w:right w:val="nil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Service delivery: Education &amp; Children's Services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Section 17 payments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lastRenderedPageBreak/>
              <w:t xml:space="preserve">Commissioning and procurement </w:t>
            </w:r>
            <w:r w:rsidRPr="006C2414">
              <w:rPr>
                <w:rFonts w:ascii="Arial" w:hAnsi="Arial" w:cs="Arial"/>
                <w:sz w:val="22"/>
                <w:szCs w:val="22"/>
              </w:rPr>
              <w:t>of expert assessment and therapy provision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Children's Services in-service audit framework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External residential placements process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Contract monitoring: external residential placements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 xml:space="preserve">Child protection </w:t>
            </w:r>
            <w:r w:rsidRPr="006C2414">
              <w:rPr>
                <w:rFonts w:ascii="Arial" w:hAnsi="Arial" w:cs="Arial"/>
                <w:sz w:val="22"/>
                <w:szCs w:val="22"/>
              </w:rPr>
              <w:t>pre-proceedings and care proceedings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Special guardianship orders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Implementation of the Prevent strategy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Schools' payroll arrangements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Schools' Financial Value Standard self-assessments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 xml:space="preserve">Concessionary </w:t>
            </w:r>
            <w:r w:rsidRPr="006C2414">
              <w:rPr>
                <w:rFonts w:ascii="Arial" w:hAnsi="Arial" w:cs="Arial"/>
                <w:sz w:val="22"/>
                <w:szCs w:val="22"/>
              </w:rPr>
              <w:t>travel: NOW Card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School bus passes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Contract monitoring: highways line-marking contract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The crisis support scheme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Customer Access Service: business continuity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Highways Asset Management System (HAMS)</w:t>
            </w:r>
            <w:r w:rsidRPr="006C2414">
              <w:rPr>
                <w:rFonts w:ascii="Arial" w:hAnsi="Arial" w:cs="Arial"/>
                <w:sz w:val="22"/>
                <w:szCs w:val="22"/>
              </w:rPr>
              <w:t xml:space="preserve"> operational effectiveness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Highways Asset Management System (HAMS) improvement programme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Lancashire Renewables: governance and decision making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Lancashire Renewables: expenditure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 xml:space="preserve">Highways Service vehicle hire and </w:t>
            </w:r>
            <w:r w:rsidRPr="006C2414">
              <w:rPr>
                <w:rFonts w:ascii="Arial" w:hAnsi="Arial" w:cs="Arial"/>
                <w:sz w:val="22"/>
                <w:szCs w:val="22"/>
              </w:rPr>
              <w:t>return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Business Growth Hubs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Contract monitoring: waste landfill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right w:val="nil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4">
              <w:rPr>
                <w:rFonts w:ascii="Arial-BoldMT" w:hAnsi="Arial-BoldMT" w:cs="Arial-BoldMT"/>
                <w:b/>
                <w:bCs/>
                <w:sz w:val="22"/>
                <w:szCs w:val="22"/>
                <w:lang w:eastAsia="en-GB"/>
              </w:rPr>
              <w:t>Service support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Implementation of the new corporate lone working system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Recovery of costs/ available income from partner organisations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'Step up to Social Work' contract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Moderate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Procurement of the new corporate banking contract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right w:val="nil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4">
              <w:rPr>
                <w:rFonts w:ascii="Arial-BoldMT" w:hAnsi="Arial-BoldMT" w:cs="Arial-BoldMT"/>
                <w:b/>
                <w:bCs/>
                <w:sz w:val="22"/>
                <w:szCs w:val="22"/>
                <w:lang w:eastAsia="en-GB"/>
              </w:rPr>
              <w:t>Business processes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Information management: information storage and retention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 xml:space="preserve">Information management: compliance with the new </w:t>
            </w:r>
            <w:r w:rsidRPr="006C2414">
              <w:rPr>
                <w:rFonts w:ascii="Arial" w:hAnsi="Arial" w:cs="Arial"/>
                <w:sz w:val="22"/>
                <w:szCs w:val="22"/>
              </w:rPr>
              <w:t>General Data Protection Regulations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Treasury management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-BoldMT" w:hAnsi="Arial-BoldMT" w:cs="Arial-BoldMT"/>
                <w:bCs/>
                <w:sz w:val="22"/>
                <w:szCs w:val="22"/>
                <w:lang w:eastAsia="en-GB"/>
              </w:rPr>
              <w:t>Oversight of payroll payments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Limited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-BoldMT" w:hAnsi="Arial-BoldMT" w:cs="Arial-BoldMT"/>
                <w:bCs/>
                <w:sz w:val="22"/>
                <w:szCs w:val="22"/>
                <w:lang w:eastAsia="en-GB"/>
              </w:rPr>
            </w:pPr>
            <w:r w:rsidRPr="006C2414">
              <w:rPr>
                <w:rFonts w:ascii="Arial" w:hAnsi="Arial" w:cs="Arial"/>
                <w:sz w:val="22"/>
                <w:szCs w:val="22"/>
                <w:lang w:eastAsia="en-GB"/>
              </w:rPr>
              <w:t>Financial processes</w:t>
            </w:r>
            <w:r w:rsidRPr="006C2414">
              <w:rPr>
                <w:rFonts w:ascii="Arial-BoldMT" w:hAnsi="Arial-BoldMT" w:cs="Arial-BoldMT"/>
                <w:bCs/>
                <w:sz w:val="22"/>
                <w:szCs w:val="22"/>
                <w:lang w:eastAsia="en-GB"/>
              </w:rPr>
              <w:t>: general ledger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-BoldMT" w:hAnsi="Arial-BoldMT" w:cs="Arial-BoldMT"/>
                <w:bCs/>
                <w:sz w:val="22"/>
                <w:szCs w:val="22"/>
                <w:lang w:eastAsia="en-GB"/>
              </w:rPr>
            </w:pPr>
            <w:r w:rsidRPr="006C2414">
              <w:rPr>
                <w:rFonts w:ascii="Arial" w:hAnsi="Arial" w:cs="Arial"/>
                <w:sz w:val="22"/>
                <w:szCs w:val="22"/>
                <w:lang w:eastAsia="en-GB"/>
              </w:rPr>
              <w:t>Financial processes</w:t>
            </w:r>
            <w:r w:rsidRPr="006C2414">
              <w:rPr>
                <w:rFonts w:ascii="Arial-BoldMT" w:hAnsi="Arial-BoldMT" w:cs="Arial-BoldMT"/>
                <w:bCs/>
                <w:sz w:val="22"/>
                <w:szCs w:val="22"/>
                <w:lang w:eastAsia="en-GB"/>
              </w:rPr>
              <w:t>: cash and banking</w:t>
            </w:r>
          </w:p>
        </w:tc>
        <w:tc>
          <w:tcPr>
            <w:tcW w:w="1559" w:type="dxa"/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  <w:tr w:rsidR="00AB40FE" w:rsidTr="00361144">
        <w:tc>
          <w:tcPr>
            <w:tcW w:w="7655" w:type="dxa"/>
            <w:tcBorders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C2414">
              <w:rPr>
                <w:rFonts w:ascii="Arial" w:hAnsi="Arial" w:cs="Arial"/>
                <w:sz w:val="22"/>
                <w:szCs w:val="22"/>
                <w:lang w:eastAsia="en-GB"/>
              </w:rPr>
              <w:t>Financial processes: VAT processing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1144" w:rsidRPr="006C2414" w:rsidRDefault="00D6610A" w:rsidP="008309CA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C2414">
              <w:rPr>
                <w:rFonts w:ascii="Arial" w:hAnsi="Arial" w:cs="Arial"/>
                <w:sz w:val="22"/>
                <w:szCs w:val="22"/>
              </w:rPr>
              <w:t>Substantial</w:t>
            </w:r>
          </w:p>
        </w:tc>
      </w:tr>
    </w:tbl>
    <w:p w:rsidR="008309CA" w:rsidRPr="00361144" w:rsidRDefault="00D6610A" w:rsidP="008309CA">
      <w:pPr>
        <w:rPr>
          <w:sz w:val="4"/>
          <w:szCs w:val="4"/>
        </w:rPr>
      </w:pPr>
    </w:p>
    <w:sectPr w:rsidR="008309CA" w:rsidRPr="00361144" w:rsidSect="00361144">
      <w:headerReference w:type="default" r:id="rId7"/>
      <w:headerReference w:type="first" r:id="rId8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610A">
      <w:pPr>
        <w:spacing w:before="0" w:after="0"/>
      </w:pPr>
      <w:r>
        <w:separator/>
      </w:r>
    </w:p>
  </w:endnote>
  <w:endnote w:type="continuationSeparator" w:id="0">
    <w:p w:rsidR="00000000" w:rsidRDefault="00D661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610A">
      <w:pPr>
        <w:spacing w:before="0" w:after="0"/>
      </w:pPr>
      <w:r>
        <w:separator/>
      </w:r>
    </w:p>
  </w:footnote>
  <w:footnote w:type="continuationSeparator" w:id="0">
    <w:p w:rsidR="00000000" w:rsidRDefault="00D661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9CA" w:rsidRPr="00971E71" w:rsidRDefault="00D6610A" w:rsidP="00971E71">
    <w:pPr>
      <w:pStyle w:val="BodyText"/>
      <w:spacing w:before="240" w:after="120"/>
      <w:rPr>
        <w:b/>
      </w:rPr>
    </w:pPr>
    <w:r w:rsidRPr="00971E71">
      <w:rPr>
        <w:b/>
      </w:rPr>
      <w:t>Assurance provided by internal audit assignments in 2018/19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EF6" w:rsidRPr="00061EF6" w:rsidRDefault="00D6610A" w:rsidP="00061EF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E84"/>
    <w:multiLevelType w:val="multilevel"/>
    <w:tmpl w:val="9FC82316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(%4)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(%4)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(%4)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(%4)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(%4)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FE"/>
    <w:rsid w:val="00891F52"/>
    <w:rsid w:val="00AB40FE"/>
    <w:rsid w:val="00D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9EDCF-5D83-413C-9983-6C593E98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31"/>
    <w:pPr>
      <w:spacing w:before="60" w:after="6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631"/>
    <w:pPr>
      <w:spacing w:after="260"/>
    </w:pPr>
  </w:style>
  <w:style w:type="character" w:customStyle="1" w:styleId="BodyTextChar">
    <w:name w:val="Body Text Char"/>
    <w:basedOn w:val="DefaultParagraphFont"/>
    <w:link w:val="BodyText"/>
    <w:uiPriority w:val="99"/>
    <w:rsid w:val="00566631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5666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31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666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31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566631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309CA"/>
    <w:pPr>
      <w:spacing w:before="0" w:after="0" w:line="260" w:lineRule="atLeast"/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309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Jones, Debra</cp:lastModifiedBy>
  <cp:revision>2</cp:revision>
  <dcterms:created xsi:type="dcterms:W3CDTF">2019-04-18T14:54:00Z</dcterms:created>
  <dcterms:modified xsi:type="dcterms:W3CDTF">2019-05-03T14:53:00Z</dcterms:modified>
</cp:coreProperties>
</file>